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2B6670" w14:textId="74F288BE" w:rsidR="00723987" w:rsidRPr="008358CC" w:rsidRDefault="00723987" w:rsidP="00723987">
      <w:pPr>
        <w:spacing w:after="0"/>
        <w:jc w:val="both"/>
        <w:rPr>
          <w:rFonts w:cstheme="minorHAnsi"/>
          <w:sz w:val="20"/>
          <w:szCs w:val="20"/>
        </w:rPr>
      </w:pPr>
      <w:r w:rsidRPr="008358CC">
        <w:rPr>
          <w:rFonts w:cstheme="minorHAnsi"/>
          <w:sz w:val="20"/>
          <w:szCs w:val="20"/>
        </w:rPr>
        <w:t xml:space="preserve">La presente informativa è destinata agli autori di segnalazioni, alle persone fisiche che assistono il segnalante nel processo di segnalazione (c.d. facilitatori) ed infine alle persone fisiche a cui il contenuto informativo della segnalazione può fare riferimento in qualità di soggetti </w:t>
      </w:r>
      <w:r w:rsidR="003A6D2F" w:rsidRPr="008358CC">
        <w:rPr>
          <w:rFonts w:cstheme="minorHAnsi"/>
          <w:sz w:val="20"/>
          <w:szCs w:val="20"/>
        </w:rPr>
        <w:t xml:space="preserve">segnalati o </w:t>
      </w:r>
      <w:r w:rsidRPr="008358CC">
        <w:rPr>
          <w:rFonts w:cstheme="minorHAnsi"/>
          <w:sz w:val="20"/>
          <w:szCs w:val="20"/>
        </w:rPr>
        <w:t>coinvolti a vario titolo nelle vicende segnalate.</w:t>
      </w:r>
    </w:p>
    <w:p w14:paraId="2305A43E" w14:textId="1CF47C1F" w:rsidR="00723987" w:rsidRPr="008358CC" w:rsidRDefault="00CB58A5" w:rsidP="005A1B09">
      <w:pPr>
        <w:spacing w:after="0"/>
        <w:jc w:val="both"/>
        <w:rPr>
          <w:rFonts w:cstheme="minorHAnsi"/>
          <w:sz w:val="20"/>
          <w:szCs w:val="20"/>
        </w:rPr>
      </w:pPr>
      <w:r>
        <w:rPr>
          <w:rFonts w:cstheme="minorHAnsi"/>
          <w:sz w:val="20"/>
          <w:szCs w:val="20"/>
        </w:rPr>
        <w:t>Dolmen S.p.a.</w:t>
      </w:r>
      <w:r w:rsidR="00723987" w:rsidRPr="008358CC">
        <w:rPr>
          <w:rFonts w:cstheme="minorHAnsi"/>
          <w:sz w:val="20"/>
          <w:szCs w:val="20"/>
        </w:rPr>
        <w:t>, in qualità di titolare del trattamento, informa ai sensi degli artt. 13 e 14 del Regolamento Generale sulla Protezione dei Dati EU 2016/679 (di seguito anche solo “GDPR”), che i dati personali acquisiti nell’ambito della procedura di gestione delle segnalazioni, verranno trattati con le modalità e per le finalità che seguono.</w:t>
      </w:r>
    </w:p>
    <w:p w14:paraId="7EFF1367" w14:textId="77777777" w:rsidR="00CC62B2" w:rsidRPr="008358CC" w:rsidRDefault="00CC62B2" w:rsidP="008358CC">
      <w:pPr>
        <w:pStyle w:val="Nessunaspaziatura"/>
        <w:spacing w:line="276" w:lineRule="auto"/>
        <w:jc w:val="center"/>
        <w:rPr>
          <w:rFonts w:asciiTheme="minorHAnsi" w:hAnsiTheme="minorHAnsi" w:cstheme="minorHAnsi"/>
        </w:rPr>
      </w:pPr>
    </w:p>
    <w:tbl>
      <w:tblPr>
        <w:tblW w:w="5000" w:type="pct"/>
        <w:tblCellMar>
          <w:top w:w="113" w:type="dxa"/>
          <w:left w:w="113" w:type="dxa"/>
          <w:bottom w:w="113" w:type="dxa"/>
          <w:right w:w="113" w:type="dxa"/>
        </w:tblCellMar>
        <w:tblLook w:val="0000" w:firstRow="0" w:lastRow="0" w:firstColumn="0" w:lastColumn="0" w:noHBand="0" w:noVBand="0"/>
      </w:tblPr>
      <w:tblGrid>
        <w:gridCol w:w="1839"/>
        <w:gridCol w:w="7799"/>
      </w:tblGrid>
      <w:tr w:rsidR="00CB58A5" w:rsidRPr="008358CC" w14:paraId="5882A954" w14:textId="77777777" w:rsidTr="00CB58A5">
        <w:tc>
          <w:tcPr>
            <w:tcW w:w="1839" w:type="dxa"/>
            <w:tcMar>
              <w:top w:w="113" w:type="dxa"/>
              <w:left w:w="108" w:type="dxa"/>
              <w:bottom w:w="113" w:type="dxa"/>
              <w:right w:w="108" w:type="dxa"/>
            </w:tcMar>
            <w:vAlign w:val="center"/>
          </w:tcPr>
          <w:p w14:paraId="3B3CFBCD" w14:textId="51FC3E8B" w:rsidR="00CB58A5" w:rsidRPr="008358CC" w:rsidRDefault="00CB58A5" w:rsidP="00CB58A5">
            <w:pPr>
              <w:pStyle w:val="Nessunaspaziatura"/>
              <w:spacing w:line="276" w:lineRule="auto"/>
              <w:jc w:val="center"/>
              <w:rPr>
                <w:rFonts w:ascii="Calibri" w:hAnsi="Calibri" w:cs="Calibri"/>
                <w:b/>
                <w:smallCaps/>
              </w:rPr>
            </w:pPr>
            <w:r w:rsidRPr="008358CC">
              <w:rPr>
                <w:rFonts w:ascii="Calibri" w:hAnsi="Calibri" w:cs="Calibri"/>
                <w:b/>
                <w:smallCaps/>
              </w:rPr>
              <w:t>Titolare del trattamento</w:t>
            </w:r>
          </w:p>
        </w:tc>
        <w:tc>
          <w:tcPr>
            <w:tcW w:w="7799" w:type="dxa"/>
            <w:tcMar>
              <w:top w:w="113" w:type="dxa"/>
              <w:left w:w="108" w:type="dxa"/>
              <w:bottom w:w="113" w:type="dxa"/>
              <w:right w:w="108" w:type="dxa"/>
            </w:tcMar>
          </w:tcPr>
          <w:p w14:paraId="7D0FD936" w14:textId="77777777" w:rsidR="00CB58A5" w:rsidRPr="008852D7" w:rsidRDefault="00CB58A5" w:rsidP="00CB58A5">
            <w:pPr>
              <w:spacing w:after="120" w:line="240" w:lineRule="auto"/>
              <w:jc w:val="both"/>
              <w:rPr>
                <w:rFonts w:asciiTheme="majorHAnsi" w:hAnsiTheme="majorHAnsi" w:cstheme="majorHAnsi"/>
                <w:sz w:val="20"/>
                <w:szCs w:val="20"/>
              </w:rPr>
            </w:pPr>
            <w:r w:rsidRPr="008852D7">
              <w:rPr>
                <w:rFonts w:asciiTheme="majorHAnsi" w:hAnsiTheme="majorHAnsi" w:cstheme="majorHAnsi"/>
                <w:sz w:val="20"/>
                <w:szCs w:val="20"/>
              </w:rPr>
              <w:t xml:space="preserve">Titolare del trattamento è </w:t>
            </w:r>
            <w:r w:rsidRPr="002B733B">
              <w:rPr>
                <w:rFonts w:asciiTheme="majorHAnsi" w:hAnsiTheme="majorHAnsi" w:cstheme="majorHAnsi"/>
                <w:sz w:val="20"/>
                <w:szCs w:val="20"/>
              </w:rPr>
              <w:t>Dolmen S.p.A.</w:t>
            </w:r>
            <w:r w:rsidRPr="00034D04">
              <w:rPr>
                <w:rFonts w:asciiTheme="majorHAnsi" w:hAnsiTheme="majorHAnsi" w:cstheme="majorHAnsi"/>
                <w:sz w:val="20"/>
                <w:szCs w:val="20"/>
              </w:rPr>
              <w:t xml:space="preserve"> con sede legale </w:t>
            </w:r>
            <w:r w:rsidRPr="002B733B">
              <w:rPr>
                <w:rFonts w:asciiTheme="majorHAnsi" w:hAnsiTheme="majorHAnsi" w:cstheme="majorHAnsi"/>
                <w:sz w:val="20"/>
                <w:szCs w:val="20"/>
              </w:rPr>
              <w:t>Via Dei Conciatori, 16/18, S. Croce sull'Arno - 56029 (PI</w:t>
            </w:r>
            <w:r>
              <w:rPr>
                <w:rFonts w:asciiTheme="majorHAnsi" w:hAnsiTheme="majorHAnsi" w:cstheme="majorHAnsi"/>
                <w:sz w:val="20"/>
                <w:szCs w:val="20"/>
              </w:rPr>
              <w:t>)</w:t>
            </w:r>
          </w:p>
          <w:p w14:paraId="3F55C566" w14:textId="640CF8E2" w:rsidR="00CB58A5" w:rsidRPr="008358CC" w:rsidRDefault="00CB58A5" w:rsidP="00CB58A5">
            <w:pPr>
              <w:jc w:val="both"/>
              <w:rPr>
                <w:rFonts w:cstheme="minorHAnsi"/>
                <w:sz w:val="20"/>
                <w:szCs w:val="20"/>
              </w:rPr>
            </w:pPr>
            <w:r w:rsidRPr="008852D7">
              <w:rPr>
                <w:rFonts w:asciiTheme="majorHAnsi" w:hAnsiTheme="majorHAnsi" w:cstheme="majorHAnsi"/>
                <w:sz w:val="20"/>
                <w:szCs w:val="20"/>
              </w:rPr>
              <w:t xml:space="preserve">Il </w:t>
            </w:r>
            <w:r>
              <w:rPr>
                <w:rFonts w:asciiTheme="majorHAnsi" w:hAnsiTheme="majorHAnsi" w:cstheme="majorHAnsi"/>
                <w:sz w:val="20"/>
                <w:szCs w:val="20"/>
              </w:rPr>
              <w:t>Titolare del Trattamento è</w:t>
            </w:r>
            <w:r w:rsidRPr="008852D7">
              <w:rPr>
                <w:rFonts w:asciiTheme="majorHAnsi" w:hAnsiTheme="majorHAnsi" w:cstheme="majorHAnsi"/>
                <w:sz w:val="20"/>
                <w:szCs w:val="20"/>
              </w:rPr>
              <w:t xml:space="preserve"> contattabile tramite posta elettronica</w:t>
            </w:r>
            <w:r>
              <w:rPr>
                <w:rFonts w:asciiTheme="majorHAnsi" w:hAnsiTheme="majorHAnsi" w:cstheme="majorHAnsi"/>
                <w:sz w:val="20"/>
                <w:szCs w:val="20"/>
              </w:rPr>
              <w:t xml:space="preserve"> all’indirizzo</w:t>
            </w:r>
            <w:r>
              <w:t xml:space="preserve">: </w:t>
            </w:r>
            <w:r w:rsidRPr="00393408">
              <w:rPr>
                <w:rFonts w:asciiTheme="majorHAnsi" w:hAnsiTheme="majorHAnsi" w:cstheme="majorHAnsi"/>
                <w:sz w:val="20"/>
                <w:szCs w:val="20"/>
              </w:rPr>
              <w:t>privacy@dolmenspa.com.</w:t>
            </w:r>
          </w:p>
        </w:tc>
      </w:tr>
      <w:tr w:rsidR="00CB58A5" w:rsidRPr="008358CC" w14:paraId="3A0A5C09" w14:textId="77777777" w:rsidTr="00CB58A5">
        <w:tc>
          <w:tcPr>
            <w:tcW w:w="1839" w:type="dxa"/>
            <w:tcMar>
              <w:top w:w="113" w:type="dxa"/>
              <w:left w:w="108" w:type="dxa"/>
              <w:bottom w:w="113" w:type="dxa"/>
              <w:right w:w="108" w:type="dxa"/>
            </w:tcMar>
            <w:vAlign w:val="center"/>
          </w:tcPr>
          <w:p w14:paraId="27A6DC1A" w14:textId="77777777" w:rsidR="00CB58A5" w:rsidRPr="008358CC" w:rsidRDefault="00CB58A5" w:rsidP="00CB58A5">
            <w:pPr>
              <w:pStyle w:val="Nessunaspaziatura"/>
              <w:spacing w:line="276" w:lineRule="auto"/>
              <w:jc w:val="center"/>
              <w:rPr>
                <w:rFonts w:ascii="Calibri" w:hAnsi="Calibri" w:cs="Calibri"/>
                <w:b/>
                <w:smallCaps/>
              </w:rPr>
            </w:pPr>
            <w:r w:rsidRPr="008358CC">
              <w:rPr>
                <w:rFonts w:ascii="Calibri" w:hAnsi="Calibri" w:cs="Calibri"/>
                <w:b/>
                <w:smallCaps/>
              </w:rPr>
              <w:t>Tipologia dei dati trattati</w:t>
            </w:r>
          </w:p>
        </w:tc>
        <w:tc>
          <w:tcPr>
            <w:tcW w:w="7799" w:type="dxa"/>
            <w:tcMar>
              <w:top w:w="113" w:type="dxa"/>
              <w:left w:w="108" w:type="dxa"/>
              <w:bottom w:w="113" w:type="dxa"/>
              <w:right w:w="108" w:type="dxa"/>
            </w:tcMar>
          </w:tcPr>
          <w:p w14:paraId="47568A17" w14:textId="5359B8C1" w:rsidR="00CB58A5" w:rsidRPr="008358CC" w:rsidRDefault="00CB58A5" w:rsidP="00CB58A5">
            <w:pPr>
              <w:rPr>
                <w:rFonts w:cstheme="minorHAnsi"/>
                <w:sz w:val="20"/>
                <w:szCs w:val="20"/>
              </w:rPr>
            </w:pPr>
            <w:r w:rsidRPr="008358CC">
              <w:rPr>
                <w:rFonts w:cstheme="minorHAnsi"/>
                <w:sz w:val="20"/>
                <w:szCs w:val="20"/>
              </w:rPr>
              <w:t>Potranno essere oggetto di trattamento le seguenti tipologie di dati personali:</w:t>
            </w:r>
          </w:p>
          <w:p w14:paraId="5DFC7A7B" w14:textId="77777777" w:rsidR="00CB58A5" w:rsidRPr="008358CC" w:rsidRDefault="00CB58A5" w:rsidP="00CB58A5">
            <w:pPr>
              <w:pStyle w:val="Paragrafoelenco"/>
              <w:numPr>
                <w:ilvl w:val="0"/>
                <w:numId w:val="3"/>
              </w:numPr>
              <w:suppressAutoHyphens w:val="0"/>
              <w:autoSpaceDN/>
              <w:spacing w:after="0" w:line="259" w:lineRule="auto"/>
              <w:contextualSpacing/>
              <w:jc w:val="both"/>
              <w:textAlignment w:val="auto"/>
              <w:rPr>
                <w:rFonts w:asciiTheme="minorHAnsi" w:hAnsiTheme="minorHAnsi" w:cstheme="minorHAnsi"/>
                <w:sz w:val="20"/>
                <w:szCs w:val="20"/>
              </w:rPr>
            </w:pPr>
            <w:r w:rsidRPr="008358CC">
              <w:rPr>
                <w:rFonts w:asciiTheme="minorHAnsi" w:hAnsiTheme="minorHAnsi" w:cstheme="minorHAnsi"/>
                <w:sz w:val="20"/>
                <w:szCs w:val="20"/>
              </w:rPr>
              <w:t>dati identificativi e di contatto del segnalante;</w:t>
            </w:r>
          </w:p>
          <w:p w14:paraId="39F3B0A1" w14:textId="77777777" w:rsidR="00CB58A5" w:rsidRPr="008358CC" w:rsidRDefault="00CB58A5" w:rsidP="00CB58A5">
            <w:pPr>
              <w:pStyle w:val="Paragrafoelenco"/>
              <w:numPr>
                <w:ilvl w:val="0"/>
                <w:numId w:val="3"/>
              </w:numPr>
              <w:suppressAutoHyphens w:val="0"/>
              <w:autoSpaceDN/>
              <w:spacing w:after="0" w:line="259" w:lineRule="auto"/>
              <w:contextualSpacing/>
              <w:jc w:val="both"/>
              <w:textAlignment w:val="auto"/>
              <w:rPr>
                <w:rFonts w:asciiTheme="minorHAnsi" w:hAnsiTheme="minorHAnsi" w:cstheme="minorHAnsi"/>
                <w:sz w:val="20"/>
                <w:szCs w:val="20"/>
              </w:rPr>
            </w:pPr>
            <w:r w:rsidRPr="008358CC">
              <w:rPr>
                <w:rFonts w:asciiTheme="minorHAnsi" w:hAnsiTheme="minorHAnsi" w:cstheme="minorHAnsi"/>
                <w:sz w:val="20"/>
                <w:szCs w:val="20"/>
              </w:rPr>
              <w:t>dati identificativi delle persone coinvolte nella segnalazione, informazioni e dati relativi alle violazioni segnalate, compresi eventuali dati personali relativi a categorie particolari o riferiti a condanne penali e reati;</w:t>
            </w:r>
          </w:p>
          <w:p w14:paraId="2A4BD3D5" w14:textId="356517A3" w:rsidR="00CB58A5" w:rsidRPr="008358CC" w:rsidRDefault="00CB58A5" w:rsidP="00CB58A5">
            <w:pPr>
              <w:pStyle w:val="Paragrafoelenco"/>
              <w:numPr>
                <w:ilvl w:val="0"/>
                <w:numId w:val="3"/>
              </w:numPr>
              <w:suppressAutoHyphens w:val="0"/>
              <w:autoSpaceDN/>
              <w:spacing w:after="0" w:line="259" w:lineRule="auto"/>
              <w:contextualSpacing/>
              <w:jc w:val="both"/>
              <w:textAlignment w:val="auto"/>
              <w:rPr>
                <w:rFonts w:asciiTheme="minorHAnsi" w:hAnsiTheme="minorHAnsi" w:cstheme="minorHAnsi"/>
                <w:sz w:val="20"/>
                <w:szCs w:val="20"/>
              </w:rPr>
            </w:pPr>
            <w:r w:rsidRPr="008358CC">
              <w:rPr>
                <w:rFonts w:asciiTheme="minorHAnsi" w:hAnsiTheme="minorHAnsi" w:cstheme="minorHAnsi"/>
                <w:sz w:val="20"/>
                <w:szCs w:val="20"/>
              </w:rPr>
              <w:t>ogni altra informazione riferita al segnalante, alle persone coinvolte nella segnalazione, a eventuali altri soggetti terzi, che il segnalante decide di condividere per meglio descrivere la sospetta violazione</w:t>
            </w:r>
            <w:r>
              <w:rPr>
                <w:rFonts w:asciiTheme="minorHAnsi" w:hAnsiTheme="minorHAnsi" w:cstheme="minorHAnsi"/>
                <w:sz w:val="20"/>
                <w:szCs w:val="20"/>
              </w:rPr>
              <w:t>.</w:t>
            </w:r>
          </w:p>
        </w:tc>
      </w:tr>
      <w:tr w:rsidR="00CB58A5" w:rsidRPr="008358CC" w14:paraId="7FAB78B6" w14:textId="77777777" w:rsidTr="00CB58A5">
        <w:tc>
          <w:tcPr>
            <w:tcW w:w="1839" w:type="dxa"/>
            <w:tcMar>
              <w:top w:w="113" w:type="dxa"/>
              <w:left w:w="108" w:type="dxa"/>
              <w:bottom w:w="113" w:type="dxa"/>
              <w:right w:w="108" w:type="dxa"/>
            </w:tcMar>
            <w:vAlign w:val="center"/>
          </w:tcPr>
          <w:p w14:paraId="3A798DF3" w14:textId="77777777" w:rsidR="00CB58A5" w:rsidRPr="008358CC" w:rsidRDefault="00CB58A5" w:rsidP="00CB58A5">
            <w:pPr>
              <w:pStyle w:val="Nessunaspaziatura"/>
              <w:spacing w:line="276" w:lineRule="auto"/>
              <w:jc w:val="center"/>
              <w:rPr>
                <w:rFonts w:ascii="Calibri" w:hAnsi="Calibri" w:cs="Calibri"/>
                <w:b/>
                <w:smallCaps/>
              </w:rPr>
            </w:pPr>
            <w:r w:rsidRPr="008358CC">
              <w:rPr>
                <w:rFonts w:ascii="Calibri" w:hAnsi="Calibri" w:cs="Calibri"/>
                <w:b/>
                <w:smallCaps/>
              </w:rPr>
              <w:t>Origine dei dati e natura del conferimento</w:t>
            </w:r>
          </w:p>
        </w:tc>
        <w:tc>
          <w:tcPr>
            <w:tcW w:w="7799" w:type="dxa"/>
            <w:tcMar>
              <w:top w:w="113" w:type="dxa"/>
              <w:left w:w="108" w:type="dxa"/>
              <w:bottom w:w="113" w:type="dxa"/>
              <w:right w:w="108" w:type="dxa"/>
            </w:tcMar>
          </w:tcPr>
          <w:p w14:paraId="64478475" w14:textId="77777777" w:rsidR="00CB58A5" w:rsidRPr="008358CC" w:rsidRDefault="00CB58A5" w:rsidP="00CB58A5">
            <w:pPr>
              <w:jc w:val="both"/>
              <w:rPr>
                <w:rFonts w:cstheme="minorHAnsi"/>
                <w:sz w:val="20"/>
                <w:szCs w:val="20"/>
              </w:rPr>
            </w:pPr>
            <w:r w:rsidRPr="008358CC">
              <w:rPr>
                <w:rFonts w:cstheme="minorHAnsi"/>
                <w:sz w:val="20"/>
                <w:szCs w:val="20"/>
              </w:rPr>
              <w:t>I dati personali oggetto di trattamento sono quelli forniti dal segnalante e quelli eventualmente raccolti in modo autonomo nel corso delle attività istruttoria, necessari ad accertare le circostanze oggetto della segnalazione.</w:t>
            </w:r>
          </w:p>
          <w:p w14:paraId="26B16CE6" w14:textId="25649487" w:rsidR="00CB58A5" w:rsidRPr="008358CC" w:rsidRDefault="00CB58A5" w:rsidP="00CB58A5">
            <w:pPr>
              <w:spacing w:after="120" w:line="240" w:lineRule="auto"/>
              <w:jc w:val="both"/>
              <w:rPr>
                <w:rFonts w:cstheme="minorHAnsi"/>
                <w:sz w:val="20"/>
                <w:szCs w:val="20"/>
              </w:rPr>
            </w:pPr>
            <w:r w:rsidRPr="008358CC">
              <w:rPr>
                <w:rFonts w:cstheme="minorHAnsi"/>
                <w:sz w:val="20"/>
                <w:szCs w:val="20"/>
              </w:rPr>
              <w:t>Il conferimento dei dati è necessario e funzionale alla gestione delle segnalazioni ricevute nelle forme e modalità descritte nella P</w:t>
            </w:r>
            <w:r w:rsidRPr="008358CC">
              <w:rPr>
                <w:rFonts w:cstheme="minorHAnsi"/>
                <w:color w:val="000000"/>
                <w:sz w:val="20"/>
                <w:szCs w:val="20"/>
              </w:rPr>
              <w:t>rocedura per la gestione delle segnalazioni whistleblowing.</w:t>
            </w:r>
          </w:p>
        </w:tc>
      </w:tr>
      <w:tr w:rsidR="00CB58A5" w:rsidRPr="008358CC" w14:paraId="12FC2E6E" w14:textId="77777777" w:rsidTr="00CB58A5">
        <w:tc>
          <w:tcPr>
            <w:tcW w:w="1839" w:type="dxa"/>
            <w:tcMar>
              <w:top w:w="113" w:type="dxa"/>
              <w:left w:w="108" w:type="dxa"/>
              <w:bottom w:w="113" w:type="dxa"/>
              <w:right w:w="108" w:type="dxa"/>
            </w:tcMar>
            <w:vAlign w:val="center"/>
          </w:tcPr>
          <w:p w14:paraId="7042D10E" w14:textId="77777777" w:rsidR="00CB58A5" w:rsidRPr="008358CC" w:rsidRDefault="00CB58A5" w:rsidP="00CB58A5">
            <w:pPr>
              <w:pStyle w:val="Nessunaspaziatura"/>
              <w:spacing w:line="276" w:lineRule="auto"/>
              <w:jc w:val="center"/>
              <w:rPr>
                <w:rFonts w:ascii="Calibri" w:hAnsi="Calibri" w:cs="Calibri"/>
                <w:b/>
                <w:smallCaps/>
              </w:rPr>
            </w:pPr>
            <w:r w:rsidRPr="008358CC">
              <w:rPr>
                <w:rFonts w:ascii="Calibri" w:hAnsi="Calibri" w:cs="Calibri"/>
                <w:b/>
                <w:smallCaps/>
              </w:rPr>
              <w:t>Finalità del trattamento</w:t>
            </w:r>
          </w:p>
        </w:tc>
        <w:tc>
          <w:tcPr>
            <w:tcW w:w="7799" w:type="dxa"/>
            <w:tcMar>
              <w:top w:w="113" w:type="dxa"/>
              <w:left w:w="108" w:type="dxa"/>
              <w:bottom w:w="113" w:type="dxa"/>
              <w:right w:w="108" w:type="dxa"/>
            </w:tcMar>
          </w:tcPr>
          <w:p w14:paraId="4E5AF880" w14:textId="469CBE90" w:rsidR="00CB58A5" w:rsidRPr="008358CC" w:rsidRDefault="00CB58A5" w:rsidP="00CB58A5">
            <w:pPr>
              <w:spacing w:after="120" w:line="240" w:lineRule="auto"/>
              <w:jc w:val="both"/>
              <w:rPr>
                <w:rFonts w:cstheme="minorHAnsi"/>
                <w:sz w:val="20"/>
                <w:szCs w:val="20"/>
              </w:rPr>
            </w:pPr>
            <w:r w:rsidRPr="008358CC">
              <w:rPr>
                <w:rFonts w:cstheme="minorHAnsi"/>
                <w:sz w:val="20"/>
                <w:szCs w:val="20"/>
              </w:rPr>
              <w:t xml:space="preserve">I dati personali saranno raccolti e trattati per finalità connesse alla gestione di segnalazioni di violazioni riguardanti: normativa </w:t>
            </w:r>
            <w:r>
              <w:rPr>
                <w:rFonts w:cstheme="minorHAnsi"/>
                <w:sz w:val="20"/>
                <w:szCs w:val="20"/>
              </w:rPr>
              <w:t xml:space="preserve">nazionale </w:t>
            </w:r>
            <w:r w:rsidRPr="008358CC">
              <w:rPr>
                <w:rFonts w:cstheme="minorHAnsi"/>
                <w:sz w:val="20"/>
                <w:szCs w:val="20"/>
              </w:rPr>
              <w:t xml:space="preserve">ed europea relativa ai settori e agli interessi rilevanti per l’Unione con le modalità e gli strumenti descritti nella </w:t>
            </w:r>
            <w:r w:rsidRPr="008358CC">
              <w:rPr>
                <w:rFonts w:cstheme="minorHAnsi"/>
                <w:i/>
                <w:iCs/>
                <w:sz w:val="20"/>
                <w:szCs w:val="20"/>
              </w:rPr>
              <w:t>P</w:t>
            </w:r>
            <w:r w:rsidRPr="008358CC">
              <w:rPr>
                <w:rFonts w:cstheme="minorHAnsi"/>
                <w:i/>
                <w:iCs/>
                <w:color w:val="000000"/>
                <w:sz w:val="20"/>
                <w:szCs w:val="20"/>
              </w:rPr>
              <w:t>rocedura per la gestione delle segnalazioni (whistleblowing)</w:t>
            </w:r>
            <w:r w:rsidRPr="008358CC">
              <w:rPr>
                <w:rFonts w:cstheme="minorHAnsi"/>
                <w:sz w:val="20"/>
                <w:szCs w:val="20"/>
              </w:rPr>
              <w:t>.</w:t>
            </w:r>
          </w:p>
        </w:tc>
      </w:tr>
      <w:tr w:rsidR="00CB58A5" w:rsidRPr="008358CC" w14:paraId="561DBB7E" w14:textId="77777777" w:rsidTr="00CB58A5">
        <w:tc>
          <w:tcPr>
            <w:tcW w:w="1839" w:type="dxa"/>
            <w:tcMar>
              <w:top w:w="113" w:type="dxa"/>
              <w:left w:w="108" w:type="dxa"/>
              <w:bottom w:w="113" w:type="dxa"/>
              <w:right w:w="108" w:type="dxa"/>
            </w:tcMar>
            <w:vAlign w:val="center"/>
          </w:tcPr>
          <w:p w14:paraId="6F8DE2F6" w14:textId="77777777" w:rsidR="00CB58A5" w:rsidRPr="008358CC" w:rsidRDefault="00CB58A5" w:rsidP="00CB58A5">
            <w:pPr>
              <w:pStyle w:val="Nessunaspaziatura"/>
              <w:spacing w:line="276" w:lineRule="auto"/>
              <w:jc w:val="center"/>
              <w:rPr>
                <w:rFonts w:ascii="Calibri" w:hAnsi="Calibri" w:cs="Calibri"/>
                <w:b/>
                <w:smallCaps/>
              </w:rPr>
            </w:pPr>
            <w:r w:rsidRPr="008358CC">
              <w:rPr>
                <w:rFonts w:ascii="Calibri" w:hAnsi="Calibri" w:cs="Calibri"/>
                <w:b/>
                <w:smallCaps/>
              </w:rPr>
              <w:t>Base giuridica</w:t>
            </w:r>
          </w:p>
        </w:tc>
        <w:tc>
          <w:tcPr>
            <w:tcW w:w="7799" w:type="dxa"/>
            <w:tcMar>
              <w:top w:w="113" w:type="dxa"/>
              <w:left w:w="108" w:type="dxa"/>
              <w:bottom w:w="113" w:type="dxa"/>
              <w:right w:w="108" w:type="dxa"/>
            </w:tcMar>
          </w:tcPr>
          <w:p w14:paraId="3148EFA1" w14:textId="1E32DBBA" w:rsidR="00CB58A5" w:rsidRPr="008358CC" w:rsidRDefault="00CB58A5" w:rsidP="00CB58A5">
            <w:pPr>
              <w:spacing w:after="120" w:line="240" w:lineRule="auto"/>
              <w:jc w:val="both"/>
              <w:rPr>
                <w:rFonts w:cstheme="minorHAnsi"/>
                <w:sz w:val="20"/>
                <w:szCs w:val="20"/>
              </w:rPr>
            </w:pPr>
            <w:r w:rsidRPr="008358CC">
              <w:rPr>
                <w:rFonts w:cstheme="minorHAnsi"/>
                <w:sz w:val="20"/>
                <w:szCs w:val="20"/>
              </w:rPr>
              <w:t>Il trattamento dei dati deriva dalla necessità di applicare le disposizioni del D. Lgs. 24/2023.</w:t>
            </w:r>
          </w:p>
        </w:tc>
      </w:tr>
      <w:tr w:rsidR="00CB58A5" w:rsidRPr="008358CC" w14:paraId="773D8274" w14:textId="77777777" w:rsidTr="00CB58A5">
        <w:tc>
          <w:tcPr>
            <w:tcW w:w="1839" w:type="dxa"/>
            <w:tcMar>
              <w:top w:w="113" w:type="dxa"/>
              <w:left w:w="108" w:type="dxa"/>
              <w:bottom w:w="113" w:type="dxa"/>
              <w:right w:w="108" w:type="dxa"/>
            </w:tcMar>
            <w:vAlign w:val="center"/>
          </w:tcPr>
          <w:p w14:paraId="4DAEBFF7" w14:textId="77777777" w:rsidR="00CB58A5" w:rsidRPr="008358CC" w:rsidRDefault="00CB58A5" w:rsidP="00CB58A5">
            <w:pPr>
              <w:pStyle w:val="Nessunaspaziatura"/>
              <w:spacing w:line="276" w:lineRule="auto"/>
              <w:jc w:val="center"/>
              <w:rPr>
                <w:rFonts w:ascii="Calibri" w:hAnsi="Calibri" w:cs="Calibri"/>
                <w:b/>
                <w:smallCaps/>
              </w:rPr>
            </w:pPr>
            <w:r w:rsidRPr="008358CC">
              <w:rPr>
                <w:rFonts w:ascii="Calibri" w:hAnsi="Calibri" w:cs="Calibri"/>
                <w:b/>
                <w:smallCaps/>
              </w:rPr>
              <w:t>Tempi di conservazione</w:t>
            </w:r>
          </w:p>
        </w:tc>
        <w:tc>
          <w:tcPr>
            <w:tcW w:w="7799" w:type="dxa"/>
            <w:tcMar>
              <w:top w:w="113" w:type="dxa"/>
              <w:left w:w="108" w:type="dxa"/>
              <w:bottom w:w="113" w:type="dxa"/>
              <w:right w:w="108" w:type="dxa"/>
            </w:tcMar>
          </w:tcPr>
          <w:p w14:paraId="440755D9" w14:textId="77777777" w:rsidR="00CB58A5" w:rsidRPr="008358CC" w:rsidRDefault="00CB58A5" w:rsidP="00CB58A5">
            <w:pPr>
              <w:jc w:val="both"/>
              <w:rPr>
                <w:rFonts w:cstheme="minorHAnsi"/>
                <w:sz w:val="20"/>
                <w:szCs w:val="20"/>
              </w:rPr>
            </w:pPr>
            <w:r w:rsidRPr="008358CC">
              <w:rPr>
                <w:rFonts w:cstheme="minorHAnsi"/>
                <w:sz w:val="20"/>
                <w:szCs w:val="20"/>
              </w:rPr>
              <w:t>Le segnalazioni e la relativa documentazione sono conservate per il tempo necessario al trattamento della segnalazione e comunque non oltre cinque anni a decorrere dalla data della comunicazione dell'esito finale della procedura di segnalazione, nel rispetto degli obblighi di riservatezza della persona segnalante.</w:t>
            </w:r>
          </w:p>
          <w:p w14:paraId="68754DFB" w14:textId="77777777" w:rsidR="00CB58A5" w:rsidRPr="008358CC" w:rsidRDefault="00CB58A5" w:rsidP="00CB58A5">
            <w:pPr>
              <w:spacing w:after="120" w:line="240" w:lineRule="auto"/>
              <w:jc w:val="both"/>
              <w:rPr>
                <w:rFonts w:cstheme="minorHAnsi"/>
                <w:sz w:val="20"/>
                <w:szCs w:val="20"/>
              </w:rPr>
            </w:pPr>
            <w:r w:rsidRPr="008358CC">
              <w:rPr>
                <w:rFonts w:cstheme="minorHAnsi"/>
                <w:sz w:val="20"/>
                <w:szCs w:val="20"/>
              </w:rPr>
              <w:t>I dati personali che manifestamente non sono utili alla valutazione della segnalazione saranno immediatamente cancellati.</w:t>
            </w:r>
          </w:p>
        </w:tc>
      </w:tr>
      <w:tr w:rsidR="00CB58A5" w:rsidRPr="008358CC" w14:paraId="267B6D48" w14:textId="77777777" w:rsidTr="00CB58A5">
        <w:tc>
          <w:tcPr>
            <w:tcW w:w="1839" w:type="dxa"/>
            <w:tcMar>
              <w:top w:w="113" w:type="dxa"/>
              <w:left w:w="108" w:type="dxa"/>
              <w:bottom w:w="113" w:type="dxa"/>
              <w:right w:w="108" w:type="dxa"/>
            </w:tcMar>
            <w:vAlign w:val="center"/>
          </w:tcPr>
          <w:p w14:paraId="0DC2880A" w14:textId="77777777" w:rsidR="00CB58A5" w:rsidRPr="008358CC" w:rsidRDefault="00CB58A5" w:rsidP="00CB58A5">
            <w:pPr>
              <w:pStyle w:val="Nessunaspaziatura"/>
              <w:spacing w:line="276" w:lineRule="auto"/>
              <w:jc w:val="center"/>
              <w:rPr>
                <w:rFonts w:ascii="Calibri" w:hAnsi="Calibri" w:cs="Calibri"/>
                <w:b/>
                <w:smallCaps/>
              </w:rPr>
            </w:pPr>
            <w:r w:rsidRPr="008358CC">
              <w:rPr>
                <w:rFonts w:ascii="Calibri" w:hAnsi="Calibri" w:cs="Calibri"/>
                <w:b/>
                <w:smallCaps/>
              </w:rPr>
              <w:t>Destinatari dei dati personali</w:t>
            </w:r>
          </w:p>
        </w:tc>
        <w:tc>
          <w:tcPr>
            <w:tcW w:w="7799" w:type="dxa"/>
            <w:tcMar>
              <w:top w:w="113" w:type="dxa"/>
              <w:left w:w="108" w:type="dxa"/>
              <w:bottom w:w="113" w:type="dxa"/>
              <w:right w:w="108" w:type="dxa"/>
            </w:tcMar>
          </w:tcPr>
          <w:p w14:paraId="71D80FC9" w14:textId="60B4D123" w:rsidR="00CB58A5" w:rsidRPr="008358CC" w:rsidRDefault="00CB58A5" w:rsidP="00CB58A5">
            <w:pPr>
              <w:jc w:val="both"/>
              <w:rPr>
                <w:rFonts w:cstheme="minorHAnsi"/>
                <w:sz w:val="20"/>
                <w:szCs w:val="20"/>
              </w:rPr>
            </w:pPr>
            <w:r w:rsidRPr="008358CC">
              <w:rPr>
                <w:rFonts w:cstheme="minorHAnsi"/>
                <w:sz w:val="20"/>
                <w:szCs w:val="20"/>
              </w:rPr>
              <w:t>I dati personali saranno trattati dalla Struttura di Gestione delle Segnalazioni, costituita da un Comitato Interno appositamente. In conformità a quanto previsto dalla vigente normativa in materia e dalla procedura di gestione delle segnalazioni, il Comitato Interno è tenuto a garantire la riservatezza dell’identità del segnalante e delle informazioni di cui è venuto a conoscenza.</w:t>
            </w:r>
          </w:p>
          <w:p w14:paraId="23DE2285" w14:textId="40131351" w:rsidR="00CB58A5" w:rsidRPr="008358CC" w:rsidRDefault="00CB58A5" w:rsidP="00CB58A5">
            <w:pPr>
              <w:jc w:val="both"/>
              <w:rPr>
                <w:rFonts w:cstheme="minorHAnsi"/>
                <w:sz w:val="20"/>
                <w:szCs w:val="20"/>
              </w:rPr>
            </w:pPr>
            <w:r w:rsidRPr="008358CC">
              <w:rPr>
                <w:rFonts w:cstheme="minorHAnsi"/>
                <w:sz w:val="20"/>
                <w:szCs w:val="20"/>
              </w:rPr>
              <w:lastRenderedPageBreak/>
              <w:t>L’identità del segnalante o qualsiasi altra informazione da cui possa evincersi direttamente o indirettamente tale identità, possono essere rivelate solo con il consenso espresso della stessa persona segnalante. Nel caso rilevasse un coinvolgimento negli eventi oggetto della segnalazione di uno dei due componenti del Comitato Interno, la segnalazione verrà trattata dal componente non in posizione di conflitto, secondo le modalità previste in procedura.</w:t>
            </w:r>
          </w:p>
          <w:p w14:paraId="5976327B" w14:textId="0CA37E5D" w:rsidR="00CB58A5" w:rsidRPr="008358CC" w:rsidRDefault="00CB58A5" w:rsidP="00CB58A5">
            <w:pPr>
              <w:spacing w:after="120" w:line="240" w:lineRule="auto"/>
              <w:jc w:val="both"/>
              <w:rPr>
                <w:rFonts w:cstheme="minorHAnsi"/>
                <w:sz w:val="20"/>
                <w:szCs w:val="20"/>
              </w:rPr>
            </w:pPr>
            <w:r w:rsidRPr="008358CC">
              <w:rPr>
                <w:rFonts w:cstheme="minorHAnsi"/>
                <w:sz w:val="20"/>
                <w:szCs w:val="20"/>
              </w:rPr>
              <w:t>Infine, alcuni dati potranno essere trasmessi, nei casi previsti dalla normativa, all’Autorità Giudiziaria e/o alle Autorità competenti.</w:t>
            </w:r>
          </w:p>
        </w:tc>
      </w:tr>
      <w:tr w:rsidR="00CB58A5" w:rsidRPr="008358CC" w14:paraId="5ADF8C85" w14:textId="77777777" w:rsidTr="00CB58A5">
        <w:tc>
          <w:tcPr>
            <w:tcW w:w="1839" w:type="dxa"/>
            <w:tcMar>
              <w:top w:w="113" w:type="dxa"/>
              <w:left w:w="108" w:type="dxa"/>
              <w:bottom w:w="113" w:type="dxa"/>
              <w:right w:w="108" w:type="dxa"/>
            </w:tcMar>
            <w:vAlign w:val="center"/>
          </w:tcPr>
          <w:p w14:paraId="681C1967" w14:textId="77777777" w:rsidR="00CB58A5" w:rsidRPr="008358CC" w:rsidRDefault="00CB58A5" w:rsidP="00CB58A5">
            <w:pPr>
              <w:pStyle w:val="Nessunaspaziatura"/>
              <w:spacing w:line="276" w:lineRule="auto"/>
              <w:jc w:val="center"/>
              <w:rPr>
                <w:rFonts w:ascii="Calibri" w:hAnsi="Calibri" w:cs="Calibri"/>
                <w:b/>
                <w:smallCaps/>
              </w:rPr>
            </w:pPr>
            <w:r w:rsidRPr="008358CC">
              <w:rPr>
                <w:rFonts w:ascii="Calibri" w:hAnsi="Calibri" w:cs="Calibri"/>
                <w:b/>
                <w:smallCaps/>
              </w:rPr>
              <w:lastRenderedPageBreak/>
              <w:t>Diritti dell’interessato</w:t>
            </w:r>
          </w:p>
        </w:tc>
        <w:tc>
          <w:tcPr>
            <w:tcW w:w="7799" w:type="dxa"/>
            <w:tcMar>
              <w:top w:w="113" w:type="dxa"/>
              <w:left w:w="108" w:type="dxa"/>
              <w:bottom w:w="113" w:type="dxa"/>
              <w:right w:w="108" w:type="dxa"/>
            </w:tcMar>
          </w:tcPr>
          <w:p w14:paraId="190771BE" w14:textId="77777777" w:rsidR="00CB58A5" w:rsidRPr="008358CC" w:rsidRDefault="00CB58A5" w:rsidP="00CB58A5">
            <w:pPr>
              <w:jc w:val="both"/>
              <w:rPr>
                <w:rFonts w:cstheme="minorHAnsi"/>
                <w:sz w:val="20"/>
                <w:szCs w:val="20"/>
              </w:rPr>
            </w:pPr>
            <w:r w:rsidRPr="008358CC">
              <w:rPr>
                <w:rFonts w:cstheme="minorHAnsi"/>
                <w:sz w:val="20"/>
                <w:szCs w:val="20"/>
              </w:rPr>
              <w:t xml:space="preserve">Relativamente ai dati medesimi, gli Interessati possono esercitare, nei casi previsti, i diritti di cui al CAPO III del Regolamento UE 2016/679 (GDPR). </w:t>
            </w:r>
          </w:p>
          <w:p w14:paraId="4DA33A06" w14:textId="77777777" w:rsidR="00CB58A5" w:rsidRPr="008358CC" w:rsidRDefault="00CB58A5" w:rsidP="00CB58A5">
            <w:pPr>
              <w:jc w:val="both"/>
              <w:rPr>
                <w:rFonts w:cstheme="minorHAnsi"/>
                <w:sz w:val="20"/>
                <w:szCs w:val="20"/>
              </w:rPr>
            </w:pPr>
            <w:r w:rsidRPr="008358CC">
              <w:rPr>
                <w:rFonts w:cstheme="minorHAnsi"/>
                <w:sz w:val="20"/>
                <w:szCs w:val="20"/>
              </w:rPr>
              <w:t xml:space="preserve">In particolare, il </w:t>
            </w:r>
            <w:r w:rsidRPr="008358CC">
              <w:rPr>
                <w:rFonts w:cstheme="minorHAnsi"/>
                <w:sz w:val="20"/>
                <w:szCs w:val="20"/>
                <w:u w:val="single"/>
              </w:rPr>
              <w:t>segnalante</w:t>
            </w:r>
            <w:r w:rsidRPr="008358CC">
              <w:rPr>
                <w:rFonts w:cstheme="minorHAnsi"/>
                <w:sz w:val="20"/>
                <w:szCs w:val="20"/>
              </w:rPr>
              <w:t xml:space="preserve"> può esercitare il diritto di accesso ai propri dati, di rettifica o integrazione, di cancellazione e di limitazione del trattamento </w:t>
            </w:r>
            <w:r w:rsidRPr="008358CC">
              <w:rPr>
                <w:rFonts w:cstheme="minorHAnsi"/>
                <w:sz w:val="20"/>
                <w:szCs w:val="20"/>
                <w:u w:val="single"/>
              </w:rPr>
              <w:t>con le stesse modalità in cui ha effettuato la segnalazione</w:t>
            </w:r>
            <w:r w:rsidRPr="008358CC">
              <w:rPr>
                <w:rFonts w:cstheme="minorHAnsi"/>
                <w:sz w:val="20"/>
                <w:szCs w:val="20"/>
              </w:rPr>
              <w:t xml:space="preserve"> </w:t>
            </w:r>
          </w:p>
          <w:p w14:paraId="09F5D445" w14:textId="77777777" w:rsidR="00CB58A5" w:rsidRPr="008358CC" w:rsidRDefault="00CB58A5" w:rsidP="00CB58A5">
            <w:pPr>
              <w:jc w:val="both"/>
              <w:rPr>
                <w:rFonts w:cstheme="minorHAnsi"/>
                <w:sz w:val="20"/>
                <w:szCs w:val="20"/>
              </w:rPr>
            </w:pPr>
            <w:r w:rsidRPr="008358CC">
              <w:rPr>
                <w:rFonts w:cstheme="minorHAnsi"/>
                <w:sz w:val="20"/>
                <w:szCs w:val="20"/>
              </w:rPr>
              <w:t xml:space="preserve">Il segnalante, ai sensi dell’art. 77 del GDPR, ha inoltre diritto di proporre reclamo all’Autorità Garante per la Protezione dei Dati nel caso in cui ritenga che il trattamento violi il citato Regolamento. </w:t>
            </w:r>
          </w:p>
          <w:p w14:paraId="36DD179C" w14:textId="77777777" w:rsidR="00CB58A5" w:rsidRPr="008358CC" w:rsidRDefault="00CB58A5" w:rsidP="00CB58A5">
            <w:pPr>
              <w:jc w:val="both"/>
              <w:rPr>
                <w:rFonts w:cstheme="minorHAnsi"/>
                <w:sz w:val="20"/>
                <w:szCs w:val="20"/>
              </w:rPr>
            </w:pPr>
            <w:r w:rsidRPr="008358CC">
              <w:rPr>
                <w:rFonts w:cstheme="minorHAnsi"/>
                <w:sz w:val="20"/>
                <w:szCs w:val="20"/>
              </w:rPr>
              <w:t xml:space="preserve">Si informa che l’esercizio dei suddetti diritti </w:t>
            </w:r>
            <w:r w:rsidRPr="008358CC">
              <w:rPr>
                <w:rFonts w:cstheme="minorHAnsi"/>
                <w:sz w:val="20"/>
                <w:szCs w:val="20"/>
                <w:u w:val="single"/>
              </w:rPr>
              <w:t>da parte degli altri soggetti interessati, quali il segnalato o altre persone coinvolte,</w:t>
            </w:r>
            <w:r w:rsidRPr="008358CC">
              <w:rPr>
                <w:rFonts w:cstheme="minorHAnsi"/>
                <w:sz w:val="20"/>
                <w:szCs w:val="20"/>
              </w:rPr>
              <w:t xml:space="preserve"> può essere ritardato, limitato o escluso qualora tale esercizio possa comportare un pregiudizio effettivo e concreto alla riservatezza dell'identità del segnalante come previsto dall’ articolo 2-undecies, lett. f del Codice Privacy (in attuazione dell'articolo 23 del GDPR). In tali casi, i suddetti diritti possono essere esercitati tramite il Garante per la Protezione dei dati personali, con le modalità di cui all'articolo 160 del Codice Privacy.</w:t>
            </w:r>
          </w:p>
        </w:tc>
      </w:tr>
    </w:tbl>
    <w:p w14:paraId="5DBA1119" w14:textId="77777777" w:rsidR="00337446" w:rsidRPr="008358CC" w:rsidRDefault="00337446" w:rsidP="00174138">
      <w:pPr>
        <w:rPr>
          <w:rFonts w:cstheme="minorHAnsi"/>
          <w:sz w:val="20"/>
          <w:szCs w:val="20"/>
        </w:rPr>
      </w:pPr>
    </w:p>
    <w:sectPr w:rsidR="00337446" w:rsidRPr="008358CC">
      <w:head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EB3C8A" w14:textId="77777777" w:rsidR="00B67729" w:rsidRDefault="00B67729" w:rsidP="00694365">
      <w:pPr>
        <w:spacing w:after="0" w:line="240" w:lineRule="auto"/>
      </w:pPr>
      <w:r>
        <w:separator/>
      </w:r>
    </w:p>
  </w:endnote>
  <w:endnote w:type="continuationSeparator" w:id="0">
    <w:p w14:paraId="4652A63E" w14:textId="77777777" w:rsidR="00B67729" w:rsidRDefault="00B67729" w:rsidP="00694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1A95D0" w14:textId="77777777" w:rsidR="00B67729" w:rsidRDefault="00B67729" w:rsidP="00694365">
      <w:pPr>
        <w:spacing w:after="0" w:line="240" w:lineRule="auto"/>
      </w:pPr>
      <w:r>
        <w:separator/>
      </w:r>
    </w:p>
  </w:footnote>
  <w:footnote w:type="continuationSeparator" w:id="0">
    <w:p w14:paraId="47368966" w14:textId="77777777" w:rsidR="00B67729" w:rsidRDefault="00B67729" w:rsidP="006943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CellMar>
        <w:left w:w="71" w:type="dxa"/>
        <w:right w:w="71" w:type="dxa"/>
      </w:tblCellMar>
      <w:tblLook w:val="0000" w:firstRow="0" w:lastRow="0" w:firstColumn="0" w:lastColumn="0" w:noHBand="0" w:noVBand="0"/>
    </w:tblPr>
    <w:tblGrid>
      <w:gridCol w:w="2089"/>
      <w:gridCol w:w="6539"/>
      <w:gridCol w:w="1010"/>
    </w:tblGrid>
    <w:tr w:rsidR="00513976" w:rsidRPr="008358CC" w14:paraId="7A9445C0" w14:textId="77777777" w:rsidTr="00513976">
      <w:trPr>
        <w:cantSplit/>
        <w:trHeight w:val="717"/>
        <w:jc w:val="center"/>
      </w:trPr>
      <w:tc>
        <w:tcPr>
          <w:tcW w:w="809" w:type="pct"/>
        </w:tcPr>
        <w:p w14:paraId="2ECBC302" w14:textId="6CAF3336" w:rsidR="00513976" w:rsidRPr="008358CC" w:rsidRDefault="00CB58A5" w:rsidP="000F533D">
          <w:pPr>
            <w:pStyle w:val="Nessunaspaziatura"/>
            <w:jc w:val="left"/>
            <w:rPr>
              <w:rFonts w:asciiTheme="minorHAnsi" w:hAnsiTheme="minorHAnsi" w:cstheme="minorHAnsi"/>
              <w:b/>
              <w:lang w:eastAsia="it-IT"/>
            </w:rPr>
          </w:pPr>
          <w:r>
            <w:rPr>
              <w:noProof/>
            </w:rPr>
            <w:drawing>
              <wp:inline distT="0" distB="0" distL="0" distR="0" wp14:anchorId="184C8EA3" wp14:editId="4C08CBF8">
                <wp:extent cx="1236345" cy="347345"/>
                <wp:effectExtent l="0" t="0" r="0" b="0"/>
                <wp:docPr id="13314912"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6345" cy="347345"/>
                        </a:xfrm>
                        <a:prstGeom prst="rect">
                          <a:avLst/>
                        </a:prstGeom>
                        <a:noFill/>
                        <a:ln>
                          <a:noFill/>
                        </a:ln>
                      </pic:spPr>
                    </pic:pic>
                  </a:graphicData>
                </a:graphic>
              </wp:inline>
            </w:drawing>
          </w:r>
        </w:p>
      </w:tc>
      <w:tc>
        <w:tcPr>
          <w:tcW w:w="3530" w:type="pct"/>
          <w:vAlign w:val="center"/>
        </w:tcPr>
        <w:p w14:paraId="0E8CCB28" w14:textId="6F01B00D" w:rsidR="00513976" w:rsidRPr="00CB58A5" w:rsidRDefault="00513976" w:rsidP="00513976">
          <w:pPr>
            <w:pStyle w:val="Nessunaspaziatura"/>
            <w:jc w:val="center"/>
            <w:rPr>
              <w:rFonts w:asciiTheme="minorHAnsi" w:hAnsiTheme="minorHAnsi" w:cstheme="minorHAnsi"/>
              <w:b/>
              <w:lang w:val="en-GB" w:eastAsia="it-IT"/>
            </w:rPr>
          </w:pPr>
          <w:r w:rsidRPr="00CB58A5">
            <w:rPr>
              <w:rFonts w:asciiTheme="minorHAnsi" w:hAnsiTheme="minorHAnsi" w:cstheme="minorHAnsi"/>
              <w:b/>
              <w:lang w:val="en-GB" w:eastAsia="it-IT"/>
            </w:rPr>
            <w:t>INFORMATIVA PRIVACY WHISTLEBLOWING</w:t>
          </w:r>
        </w:p>
        <w:p w14:paraId="0BE49D6F" w14:textId="19DA9CEC" w:rsidR="00513976" w:rsidRPr="008358CC" w:rsidRDefault="00513976" w:rsidP="00513976">
          <w:pPr>
            <w:pStyle w:val="Nessunaspaziatura"/>
            <w:jc w:val="center"/>
            <w:rPr>
              <w:rFonts w:asciiTheme="minorHAnsi" w:hAnsiTheme="minorHAnsi" w:cstheme="minorHAnsi"/>
            </w:rPr>
          </w:pPr>
          <w:r w:rsidRPr="00CB58A5">
            <w:rPr>
              <w:rFonts w:asciiTheme="minorHAnsi" w:hAnsiTheme="minorHAnsi" w:cstheme="minorHAnsi"/>
              <w:lang w:val="en-GB"/>
            </w:rPr>
            <w:t xml:space="preserve">Art. 13-14 Reg. </w:t>
          </w:r>
          <w:r w:rsidRPr="008358CC">
            <w:rPr>
              <w:rFonts w:asciiTheme="minorHAnsi" w:hAnsiTheme="minorHAnsi" w:cstheme="minorHAnsi"/>
            </w:rPr>
            <w:t>UE 27 aprile 2016 n. 679</w:t>
          </w:r>
          <w:r>
            <w:rPr>
              <w:rFonts w:asciiTheme="minorHAnsi" w:hAnsiTheme="minorHAnsi" w:cstheme="minorHAnsi"/>
            </w:rPr>
            <w:t xml:space="preserve"> </w:t>
          </w:r>
          <w:r w:rsidRPr="008358CC">
            <w:rPr>
              <w:rFonts w:asciiTheme="minorHAnsi" w:hAnsiTheme="minorHAnsi" w:cstheme="minorHAnsi"/>
              <w:lang w:eastAsia="it-IT"/>
            </w:rPr>
            <w:t>“Regolamento Generale sulla Protezione dei Dati”</w:t>
          </w:r>
        </w:p>
      </w:tc>
      <w:tc>
        <w:tcPr>
          <w:tcW w:w="661" w:type="pct"/>
          <w:vAlign w:val="center"/>
        </w:tcPr>
        <w:p w14:paraId="5C786DA2" w14:textId="497CC72D" w:rsidR="00513976" w:rsidRPr="008358CC" w:rsidRDefault="00513976" w:rsidP="00694365">
          <w:pPr>
            <w:pStyle w:val="titolo"/>
            <w:spacing w:line="240" w:lineRule="auto"/>
            <w:rPr>
              <w:rFonts w:asciiTheme="minorHAnsi" w:hAnsiTheme="minorHAnsi" w:cstheme="minorHAnsi"/>
              <w:b w:val="0"/>
              <w:bCs w:val="0"/>
            </w:rPr>
          </w:pPr>
          <w:r w:rsidRPr="008358CC">
            <w:rPr>
              <w:rFonts w:asciiTheme="minorHAnsi" w:hAnsiTheme="minorHAnsi" w:cstheme="minorHAnsi"/>
              <w:b w:val="0"/>
              <w:bCs w:val="0"/>
            </w:rPr>
            <w:t>IPW</w:t>
          </w:r>
        </w:p>
        <w:p w14:paraId="1312D68B" w14:textId="3B5160FE" w:rsidR="00513976" w:rsidRPr="008358CC" w:rsidRDefault="00513976" w:rsidP="00694365">
          <w:pPr>
            <w:pStyle w:val="titolo"/>
            <w:spacing w:line="240" w:lineRule="auto"/>
            <w:rPr>
              <w:rFonts w:asciiTheme="minorHAnsi" w:hAnsiTheme="minorHAnsi" w:cstheme="minorHAnsi"/>
              <w:b w:val="0"/>
              <w:bCs w:val="0"/>
            </w:rPr>
          </w:pPr>
          <w:r w:rsidRPr="008358CC">
            <w:rPr>
              <w:rFonts w:asciiTheme="minorHAnsi" w:hAnsiTheme="minorHAnsi" w:cstheme="minorHAnsi"/>
              <w:b w:val="0"/>
              <w:bCs w:val="0"/>
            </w:rPr>
            <w:t>Rev. 00</w:t>
          </w:r>
        </w:p>
        <w:p w14:paraId="54BD3B2E" w14:textId="30498811" w:rsidR="00513976" w:rsidRPr="008358CC" w:rsidRDefault="00513976" w:rsidP="00694365">
          <w:pPr>
            <w:pStyle w:val="titolo"/>
            <w:spacing w:line="240" w:lineRule="auto"/>
            <w:rPr>
              <w:rFonts w:asciiTheme="minorHAnsi" w:hAnsiTheme="minorHAnsi" w:cstheme="minorHAnsi"/>
              <w:b w:val="0"/>
              <w:bCs w:val="0"/>
            </w:rPr>
          </w:pPr>
          <w:r w:rsidRPr="008358CC">
            <w:rPr>
              <w:rFonts w:asciiTheme="minorHAnsi" w:hAnsiTheme="minorHAnsi" w:cstheme="minorHAnsi"/>
              <w:b w:val="0"/>
              <w:bCs w:val="0"/>
            </w:rPr>
            <w:t xml:space="preserve">Pagina </w:t>
          </w:r>
          <w:r w:rsidRPr="008358CC">
            <w:rPr>
              <w:rFonts w:asciiTheme="minorHAnsi" w:hAnsiTheme="minorHAnsi" w:cstheme="minorHAnsi"/>
              <w:b w:val="0"/>
              <w:bCs w:val="0"/>
            </w:rPr>
            <w:fldChar w:fldCharType="begin"/>
          </w:r>
          <w:r w:rsidRPr="008358CC">
            <w:rPr>
              <w:rFonts w:asciiTheme="minorHAnsi" w:hAnsiTheme="minorHAnsi" w:cstheme="minorHAnsi"/>
              <w:b w:val="0"/>
              <w:bCs w:val="0"/>
            </w:rPr>
            <w:instrText xml:space="preserve"> PAGE </w:instrText>
          </w:r>
          <w:r w:rsidRPr="008358CC">
            <w:rPr>
              <w:rFonts w:asciiTheme="minorHAnsi" w:hAnsiTheme="minorHAnsi" w:cstheme="minorHAnsi"/>
              <w:b w:val="0"/>
              <w:bCs w:val="0"/>
            </w:rPr>
            <w:fldChar w:fldCharType="separate"/>
          </w:r>
          <w:r w:rsidRPr="008358CC">
            <w:rPr>
              <w:rFonts w:asciiTheme="minorHAnsi" w:hAnsiTheme="minorHAnsi" w:cstheme="minorHAnsi"/>
              <w:b w:val="0"/>
              <w:bCs w:val="0"/>
              <w:noProof/>
            </w:rPr>
            <w:t>2</w:t>
          </w:r>
          <w:r w:rsidRPr="008358CC">
            <w:rPr>
              <w:rFonts w:asciiTheme="minorHAnsi" w:hAnsiTheme="minorHAnsi" w:cstheme="minorHAnsi"/>
              <w:b w:val="0"/>
              <w:bCs w:val="0"/>
            </w:rPr>
            <w:fldChar w:fldCharType="end"/>
          </w:r>
          <w:r w:rsidRPr="008358CC">
            <w:rPr>
              <w:rFonts w:asciiTheme="minorHAnsi" w:hAnsiTheme="minorHAnsi" w:cstheme="minorHAnsi"/>
              <w:b w:val="0"/>
              <w:bCs w:val="0"/>
            </w:rPr>
            <w:t xml:space="preserve"> di </w:t>
          </w:r>
          <w:r w:rsidRPr="008358CC">
            <w:rPr>
              <w:rFonts w:asciiTheme="minorHAnsi" w:hAnsiTheme="minorHAnsi" w:cstheme="minorHAnsi"/>
              <w:b w:val="0"/>
              <w:bCs w:val="0"/>
            </w:rPr>
            <w:fldChar w:fldCharType="begin"/>
          </w:r>
          <w:r w:rsidRPr="008358CC">
            <w:rPr>
              <w:rFonts w:asciiTheme="minorHAnsi" w:hAnsiTheme="minorHAnsi" w:cstheme="minorHAnsi"/>
              <w:b w:val="0"/>
              <w:bCs w:val="0"/>
            </w:rPr>
            <w:instrText xml:space="preserve"> NUMPAGES </w:instrText>
          </w:r>
          <w:r w:rsidRPr="008358CC">
            <w:rPr>
              <w:rFonts w:asciiTheme="minorHAnsi" w:hAnsiTheme="minorHAnsi" w:cstheme="minorHAnsi"/>
              <w:b w:val="0"/>
              <w:bCs w:val="0"/>
            </w:rPr>
            <w:fldChar w:fldCharType="separate"/>
          </w:r>
          <w:r w:rsidRPr="008358CC">
            <w:rPr>
              <w:rFonts w:asciiTheme="minorHAnsi" w:hAnsiTheme="minorHAnsi" w:cstheme="minorHAnsi"/>
              <w:b w:val="0"/>
              <w:bCs w:val="0"/>
              <w:noProof/>
            </w:rPr>
            <w:t>2</w:t>
          </w:r>
          <w:r w:rsidRPr="008358CC">
            <w:rPr>
              <w:rFonts w:asciiTheme="minorHAnsi" w:hAnsiTheme="minorHAnsi" w:cstheme="minorHAnsi"/>
              <w:b w:val="0"/>
              <w:bCs w:val="0"/>
            </w:rPr>
            <w:fldChar w:fldCharType="end"/>
          </w:r>
        </w:p>
      </w:tc>
    </w:tr>
  </w:tbl>
  <w:p w14:paraId="39317410" w14:textId="77777777" w:rsidR="00694365" w:rsidRPr="008358CC" w:rsidRDefault="00694365">
    <w:pPr>
      <w:pStyle w:val="Intestazione"/>
      <w:rPr>
        <w:rFonts w:cstheme="minorHAn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9E7621"/>
    <w:multiLevelType w:val="hybridMultilevel"/>
    <w:tmpl w:val="5FCC9C72"/>
    <w:lvl w:ilvl="0" w:tplc="A3BE554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AED2B2F"/>
    <w:multiLevelType w:val="hybridMultilevel"/>
    <w:tmpl w:val="B94061DA"/>
    <w:lvl w:ilvl="0" w:tplc="A3BE554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5CE80AB8"/>
    <w:multiLevelType w:val="hybridMultilevel"/>
    <w:tmpl w:val="E6EC67C6"/>
    <w:lvl w:ilvl="0" w:tplc="A3BE554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98215555">
    <w:abstractNumId w:val="2"/>
  </w:num>
  <w:num w:numId="2" w16cid:durableId="1724059968">
    <w:abstractNumId w:val="0"/>
  </w:num>
  <w:num w:numId="3" w16cid:durableId="1233540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102B"/>
    <w:rsid w:val="0004147D"/>
    <w:rsid w:val="0005142F"/>
    <w:rsid w:val="00094889"/>
    <w:rsid w:val="000F533D"/>
    <w:rsid w:val="00113B3D"/>
    <w:rsid w:val="00174138"/>
    <w:rsid w:val="001831E6"/>
    <w:rsid w:val="001B145B"/>
    <w:rsid w:val="001B3542"/>
    <w:rsid w:val="002018EA"/>
    <w:rsid w:val="00232F78"/>
    <w:rsid w:val="0028028D"/>
    <w:rsid w:val="0029372E"/>
    <w:rsid w:val="002C5EBA"/>
    <w:rsid w:val="002E102B"/>
    <w:rsid w:val="00331D66"/>
    <w:rsid w:val="00337446"/>
    <w:rsid w:val="00393408"/>
    <w:rsid w:val="003A6D2F"/>
    <w:rsid w:val="004061CF"/>
    <w:rsid w:val="00435B19"/>
    <w:rsid w:val="00443B2D"/>
    <w:rsid w:val="004C1FDB"/>
    <w:rsid w:val="00513976"/>
    <w:rsid w:val="005863E3"/>
    <w:rsid w:val="005A1B09"/>
    <w:rsid w:val="005E044B"/>
    <w:rsid w:val="005E6678"/>
    <w:rsid w:val="00694365"/>
    <w:rsid w:val="006B621D"/>
    <w:rsid w:val="006E46F6"/>
    <w:rsid w:val="00723987"/>
    <w:rsid w:val="00727BA8"/>
    <w:rsid w:val="007574A5"/>
    <w:rsid w:val="00811B60"/>
    <w:rsid w:val="00823581"/>
    <w:rsid w:val="008358CC"/>
    <w:rsid w:val="00856256"/>
    <w:rsid w:val="00860F37"/>
    <w:rsid w:val="00865F19"/>
    <w:rsid w:val="008C2305"/>
    <w:rsid w:val="008F437A"/>
    <w:rsid w:val="009558DD"/>
    <w:rsid w:val="009804F4"/>
    <w:rsid w:val="009C4359"/>
    <w:rsid w:val="009D5D41"/>
    <w:rsid w:val="00A10E7F"/>
    <w:rsid w:val="00AD795E"/>
    <w:rsid w:val="00AF5EF1"/>
    <w:rsid w:val="00AF7F35"/>
    <w:rsid w:val="00B26392"/>
    <w:rsid w:val="00B62847"/>
    <w:rsid w:val="00B67729"/>
    <w:rsid w:val="00BC220A"/>
    <w:rsid w:val="00BD79E1"/>
    <w:rsid w:val="00BE6989"/>
    <w:rsid w:val="00C15A87"/>
    <w:rsid w:val="00C83CE3"/>
    <w:rsid w:val="00CB58A5"/>
    <w:rsid w:val="00CC62B2"/>
    <w:rsid w:val="00D26834"/>
    <w:rsid w:val="00D96796"/>
    <w:rsid w:val="00DC3DF8"/>
    <w:rsid w:val="00E02888"/>
    <w:rsid w:val="00E04661"/>
    <w:rsid w:val="00E65225"/>
    <w:rsid w:val="00E71989"/>
    <w:rsid w:val="00E76773"/>
    <w:rsid w:val="00EC6C15"/>
    <w:rsid w:val="00F03D9B"/>
    <w:rsid w:val="00F41A5B"/>
    <w:rsid w:val="00F52A7C"/>
    <w:rsid w:val="00FD6BC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B62DE8"/>
  <w15:chartTrackingRefBased/>
  <w15:docId w15:val="{92402BB3-A62B-4E5E-A48F-C007B0316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694365"/>
    <w:pPr>
      <w:autoSpaceDE w:val="0"/>
      <w:autoSpaceDN w:val="0"/>
      <w:adjustRightInd w:val="0"/>
      <w:spacing w:after="0" w:line="240" w:lineRule="auto"/>
    </w:pPr>
    <w:rPr>
      <w:rFonts w:ascii="Calibri" w:hAnsi="Calibri" w:cs="Calibri"/>
      <w:color w:val="000000"/>
      <w:kern w:val="0"/>
      <w:sz w:val="24"/>
      <w:szCs w:val="24"/>
    </w:rPr>
  </w:style>
  <w:style w:type="paragraph" w:styleId="Intestazione">
    <w:name w:val="header"/>
    <w:basedOn w:val="Normale"/>
    <w:link w:val="IntestazioneCarattere"/>
    <w:uiPriority w:val="99"/>
    <w:unhideWhenUsed/>
    <w:rsid w:val="00694365"/>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94365"/>
  </w:style>
  <w:style w:type="paragraph" w:styleId="Pidipagina">
    <w:name w:val="footer"/>
    <w:basedOn w:val="Normale"/>
    <w:link w:val="PidipaginaCarattere"/>
    <w:uiPriority w:val="99"/>
    <w:unhideWhenUsed/>
    <w:rsid w:val="00694365"/>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94365"/>
  </w:style>
  <w:style w:type="paragraph" w:customStyle="1" w:styleId="titolo">
    <w:name w:val="titolo"/>
    <w:basedOn w:val="Intestazione"/>
    <w:rsid w:val="00694365"/>
    <w:pPr>
      <w:widowControl w:val="0"/>
      <w:tabs>
        <w:tab w:val="clear" w:pos="4819"/>
        <w:tab w:val="clear" w:pos="9638"/>
        <w:tab w:val="center" w:pos="4252"/>
        <w:tab w:val="right" w:pos="8504"/>
        <w:tab w:val="right" w:leader="dot" w:pos="9412"/>
      </w:tabs>
      <w:spacing w:line="360" w:lineRule="auto"/>
      <w:jc w:val="center"/>
    </w:pPr>
    <w:rPr>
      <w:rFonts w:ascii="Arial" w:eastAsia="Times New Roman" w:hAnsi="Arial" w:cs="Arial"/>
      <w:b/>
      <w:bCs/>
      <w:kern w:val="0"/>
      <w:sz w:val="20"/>
      <w:szCs w:val="20"/>
      <w14:ligatures w14:val="none"/>
    </w:rPr>
  </w:style>
  <w:style w:type="paragraph" w:styleId="Nessunaspaziatura">
    <w:name w:val="No Spacing"/>
    <w:uiPriority w:val="1"/>
    <w:qFormat/>
    <w:rsid w:val="00694365"/>
    <w:pPr>
      <w:widowControl w:val="0"/>
      <w:tabs>
        <w:tab w:val="right" w:leader="dot" w:pos="9412"/>
      </w:tabs>
      <w:spacing w:after="0" w:line="240" w:lineRule="auto"/>
      <w:jc w:val="both"/>
    </w:pPr>
    <w:rPr>
      <w:rFonts w:ascii="Verdana" w:eastAsia="Times New Roman" w:hAnsi="Verdana" w:cs="Tahoma"/>
      <w:kern w:val="0"/>
      <w:sz w:val="20"/>
      <w:szCs w:val="20"/>
      <w14:ligatures w14:val="none"/>
    </w:rPr>
  </w:style>
  <w:style w:type="paragraph" w:styleId="Paragrafoelenco">
    <w:name w:val="List Paragraph"/>
    <w:aliases w:val="List Numbering"/>
    <w:basedOn w:val="Normale"/>
    <w:link w:val="ParagrafoelencoCarattere"/>
    <w:uiPriority w:val="34"/>
    <w:qFormat/>
    <w:rsid w:val="00723987"/>
    <w:pPr>
      <w:suppressAutoHyphens/>
      <w:autoSpaceDN w:val="0"/>
      <w:spacing w:line="254" w:lineRule="auto"/>
      <w:ind w:left="720"/>
      <w:textAlignment w:val="baseline"/>
    </w:pPr>
    <w:rPr>
      <w:rFonts w:ascii="Calibri Light" w:eastAsia="Calibri" w:hAnsi="Calibri Light" w:cs="Calibri Light"/>
      <w:kern w:val="0"/>
      <w:sz w:val="24"/>
      <w:szCs w:val="24"/>
      <w14:ligatures w14:val="none"/>
    </w:rPr>
  </w:style>
  <w:style w:type="character" w:customStyle="1" w:styleId="ParagrafoelencoCarattere">
    <w:name w:val="Paragrafo elenco Carattere"/>
    <w:aliases w:val="List Numbering Carattere"/>
    <w:basedOn w:val="Carpredefinitoparagrafo"/>
    <w:link w:val="Paragrafoelenco"/>
    <w:uiPriority w:val="34"/>
    <w:locked/>
    <w:rsid w:val="00723987"/>
    <w:rPr>
      <w:rFonts w:ascii="Calibri Light" w:eastAsia="Calibri" w:hAnsi="Calibri Light" w:cs="Calibri Light"/>
      <w:kern w:val="0"/>
      <w:sz w:val="24"/>
      <w:szCs w:val="24"/>
      <w14:ligatures w14:val="none"/>
    </w:rPr>
  </w:style>
  <w:style w:type="paragraph" w:styleId="Revisione">
    <w:name w:val="Revision"/>
    <w:hidden/>
    <w:uiPriority w:val="99"/>
    <w:semiHidden/>
    <w:rsid w:val="005A1B0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1</Pages>
  <Words>767</Words>
  <Characters>4372</Characters>
  <Application>Microsoft Office Word</Application>
  <DocSecurity>0</DocSecurity>
  <Lines>36</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Michele Pratesi - Siquam Srl -</dc:creator>
  <cp:keywords/>
  <dc:description/>
  <cp:lastModifiedBy>Luca Ciurli - Siquam Srl -</cp:lastModifiedBy>
  <cp:revision>24</cp:revision>
  <cp:lastPrinted>2023-07-21T09:58:00Z</cp:lastPrinted>
  <dcterms:created xsi:type="dcterms:W3CDTF">2023-07-21T09:10:00Z</dcterms:created>
  <dcterms:modified xsi:type="dcterms:W3CDTF">2025-12-11T11:10:00Z</dcterms:modified>
</cp:coreProperties>
</file>